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512333" w:rsidRPr="003227D5" w14:paraId="505C0433" w14:textId="77777777" w:rsidTr="007016FE">
        <w:tc>
          <w:tcPr>
            <w:tcW w:w="5528" w:type="dxa"/>
          </w:tcPr>
          <w:p w14:paraId="18379BD9" w14:textId="77777777" w:rsidR="00512333" w:rsidRPr="003227D5" w:rsidRDefault="00512333" w:rsidP="007016FE">
            <w:pPr>
              <w:widowControl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673" w:type="dxa"/>
          </w:tcPr>
          <w:p w14:paraId="2862988B" w14:textId="77777777" w:rsidR="00512333" w:rsidRPr="003227D5" w:rsidRDefault="00512333" w:rsidP="007016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«</w:t>
            </w:r>
            <w:r w:rsidRPr="003227D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УТВЕРЖДАЮ</w:t>
            </w: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»</w:t>
            </w:r>
          </w:p>
          <w:p w14:paraId="6982D5A0" w14:textId="77777777" w:rsidR="00512333" w:rsidRPr="003227D5" w:rsidRDefault="00512333" w:rsidP="007016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3227D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Директор МКОУ «СОШ №2 п. Теплое</w:t>
            </w:r>
          </w:p>
          <w:p w14:paraId="5B4A3FC1" w14:textId="77777777" w:rsidR="00512333" w:rsidRPr="003227D5" w:rsidRDefault="00512333" w:rsidP="007016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3227D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им. кавалера ордена Красной Звезды</w:t>
            </w:r>
          </w:p>
          <w:p w14:paraId="4A7CA6C7" w14:textId="77777777" w:rsidR="00512333" w:rsidRPr="003227D5" w:rsidRDefault="00512333" w:rsidP="007016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3227D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К.Н. Емельянова»</w:t>
            </w:r>
          </w:p>
          <w:p w14:paraId="2B170E11" w14:textId="77777777" w:rsidR="00512333" w:rsidRPr="003227D5" w:rsidRDefault="00512333" w:rsidP="007016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3227D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__________________ Л.В. Лобанова</w:t>
            </w:r>
          </w:p>
          <w:p w14:paraId="2E8359A0" w14:textId="77777777" w:rsidR="00512333" w:rsidRPr="003227D5" w:rsidRDefault="00512333" w:rsidP="007016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3227D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Приказ от_____________ №_____________</w:t>
            </w:r>
          </w:p>
          <w:p w14:paraId="0012127D" w14:textId="77777777" w:rsidR="00512333" w:rsidRPr="003227D5" w:rsidRDefault="00512333" w:rsidP="007016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</w:tbl>
    <w:p w14:paraId="2A8E3B52" w14:textId="77777777" w:rsidR="00512333" w:rsidRPr="00512333" w:rsidRDefault="00512333" w:rsidP="00512333">
      <w:pPr>
        <w:pStyle w:val="20"/>
        <w:spacing w:line="360" w:lineRule="exact"/>
        <w:jc w:val="both"/>
        <w:rPr>
          <w:b/>
          <w:bCs/>
          <w:sz w:val="24"/>
          <w:szCs w:val="24"/>
        </w:rPr>
      </w:pPr>
    </w:p>
    <w:p w14:paraId="63CA2E97" w14:textId="30B004FA" w:rsidR="00811E3C" w:rsidRDefault="006819C6" w:rsidP="00512333">
      <w:pPr>
        <w:pStyle w:val="20"/>
        <w:spacing w:line="360" w:lineRule="exact"/>
        <w:jc w:val="center"/>
        <w:rPr>
          <w:b/>
          <w:bCs/>
          <w:sz w:val="24"/>
          <w:szCs w:val="24"/>
        </w:rPr>
      </w:pPr>
      <w:r w:rsidRPr="00512333">
        <w:rPr>
          <w:b/>
          <w:bCs/>
          <w:sz w:val="24"/>
          <w:szCs w:val="24"/>
        </w:rPr>
        <w:t>Система оценки достижения планируемых результатов освоения основной образовательной программы среднего общего образования</w:t>
      </w:r>
    </w:p>
    <w:p w14:paraId="6BBBC45B" w14:textId="77777777" w:rsidR="00512333" w:rsidRPr="00512333" w:rsidRDefault="00512333" w:rsidP="00512333">
      <w:pPr>
        <w:pStyle w:val="20"/>
        <w:spacing w:line="360" w:lineRule="exact"/>
        <w:jc w:val="center"/>
        <w:rPr>
          <w:sz w:val="24"/>
          <w:szCs w:val="24"/>
        </w:rPr>
      </w:pPr>
    </w:p>
    <w:p w14:paraId="5E6A3424" w14:textId="4DA3CC82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среднего общего образования (далее - система оценки) является частью системы оценки и управления качеством образования в </w:t>
      </w:r>
      <w:bookmarkStart w:id="0" w:name="_Hlk72185702"/>
      <w:r w:rsidR="00512333" w:rsidRPr="00512333">
        <w:rPr>
          <w:sz w:val="24"/>
          <w:szCs w:val="24"/>
        </w:rPr>
        <w:t>МКОУ «СОШ №2 п. Теплое им. кавалера ордена Красной звезды К.Н. Емельянова»</w:t>
      </w:r>
      <w:bookmarkEnd w:id="0"/>
      <w:r w:rsidRPr="00512333">
        <w:rPr>
          <w:sz w:val="24"/>
          <w:szCs w:val="24"/>
        </w:rPr>
        <w:t>.</w:t>
      </w:r>
    </w:p>
    <w:p w14:paraId="2B5F2863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Основным объектом системы оценки, ее содержательной и критериальной базой выступают требования ФГОС СОО,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образования.</w:t>
      </w:r>
    </w:p>
    <w:p w14:paraId="7C9D3999" w14:textId="199ED25C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 xml:space="preserve">Основные направления и цели оценочной деятельности в лицее, способствующие управлению качеством образования, регламентируются Положением о системе оценивания образовательных достижений обучающихся в </w:t>
      </w:r>
      <w:r w:rsidR="00512333" w:rsidRPr="00512333">
        <w:rPr>
          <w:sz w:val="24"/>
          <w:szCs w:val="24"/>
        </w:rPr>
        <w:t>МКОУ «СОШ №2 п. Теплое им. кавалера ордена Красной звезды К.Н. Емельянова»</w:t>
      </w:r>
      <w:r w:rsidRPr="00512333">
        <w:rPr>
          <w:sz w:val="24"/>
          <w:szCs w:val="24"/>
        </w:rPr>
        <w:t xml:space="preserve"> и </w:t>
      </w:r>
      <w:r w:rsidRPr="007016FE">
        <w:rPr>
          <w:color w:val="auto"/>
          <w:sz w:val="24"/>
          <w:szCs w:val="24"/>
        </w:rPr>
        <w:t xml:space="preserve">Положением о формах, периодичности, порядке текущего контроля успеваемости и промежуточной аттестации обучающихся </w:t>
      </w:r>
      <w:r w:rsidRPr="00512333">
        <w:rPr>
          <w:sz w:val="24"/>
          <w:szCs w:val="24"/>
        </w:rPr>
        <w:t xml:space="preserve">в </w:t>
      </w:r>
      <w:r w:rsidR="00512333" w:rsidRPr="00512333">
        <w:rPr>
          <w:sz w:val="24"/>
          <w:szCs w:val="24"/>
        </w:rPr>
        <w:t>МКОУ «СОШ №2 п. Теплое им. кавалера ордена Красной звезды К.Н. Емельянова»</w:t>
      </w:r>
    </w:p>
    <w:p w14:paraId="36B7A868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 xml:space="preserve">Оценка образовательных достижений обучающихся осуществляется в рамках </w:t>
      </w:r>
      <w:r w:rsidRPr="00512333">
        <w:rPr>
          <w:b/>
          <w:bCs/>
          <w:sz w:val="24"/>
          <w:szCs w:val="24"/>
        </w:rPr>
        <w:t>внутренней оценки</w:t>
      </w:r>
      <w:r w:rsidRPr="00512333">
        <w:rPr>
          <w:sz w:val="24"/>
          <w:szCs w:val="24"/>
        </w:rPr>
        <w:t xml:space="preserve">, включающей различные оценочные процедуры (стартовая диагностика, текущая и тематическая оценка, процедуры внутреннего мониторинга образовательных достижений, промежуточная и итоговая аттестации обучающихся), а также процедур </w:t>
      </w:r>
      <w:r w:rsidRPr="00512333">
        <w:rPr>
          <w:b/>
          <w:bCs/>
          <w:sz w:val="24"/>
          <w:szCs w:val="24"/>
        </w:rPr>
        <w:t>внешней оценки</w:t>
      </w:r>
      <w:r w:rsidRPr="00512333">
        <w:rPr>
          <w:sz w:val="24"/>
          <w:szCs w:val="24"/>
        </w:rPr>
        <w:t>, включающей государственную итоговую аттестацию, независимую оценку качества подготовки обучающихся и мониторинговые исследования.</w:t>
      </w:r>
    </w:p>
    <w:p w14:paraId="3EC46124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Результаты процедур оценки результатов деятельности лицея обсуждаются на педагогическом совете и являются основанием для принятия решений по коррекции текущей образовательной деятельности, по совершенствованию образовательной программы лицея, а также служат основанием для принятия иных необходимых управленческих решений.</w:t>
      </w:r>
    </w:p>
    <w:p w14:paraId="0ECF873C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В соответствии с ФГОС СОО система оценки образовательной организации реализует системно-деятельностный, комплексный и уровневый подходы к оценке образовательных достижений.</w:t>
      </w:r>
    </w:p>
    <w:p w14:paraId="4A83C484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i/>
          <w:iCs/>
          <w:sz w:val="24"/>
          <w:szCs w:val="24"/>
        </w:rPr>
        <w:t>Системно-деятельностный подход</w:t>
      </w:r>
      <w:r w:rsidRPr="00512333">
        <w:rPr>
          <w:sz w:val="24"/>
          <w:szCs w:val="24"/>
        </w:rPr>
        <w:t xml:space="preserve">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</w:t>
      </w:r>
      <w:r w:rsidRPr="00512333">
        <w:rPr>
          <w:sz w:val="24"/>
          <w:szCs w:val="24"/>
        </w:rPr>
        <w:lastRenderedPageBreak/>
        <w:t>форме.</w:t>
      </w:r>
    </w:p>
    <w:p w14:paraId="3C16CCE0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i/>
          <w:iCs/>
          <w:sz w:val="24"/>
          <w:szCs w:val="24"/>
        </w:rPr>
        <w:t>Комплексный подход</w:t>
      </w:r>
      <w:r w:rsidRPr="00512333">
        <w:rPr>
          <w:sz w:val="24"/>
          <w:szCs w:val="24"/>
        </w:rPr>
        <w:t xml:space="preserve"> к оценке образовательных достижений реализуется путем:</w:t>
      </w:r>
    </w:p>
    <w:p w14:paraId="16530F46" w14:textId="2BC84050" w:rsidR="00811E3C" w:rsidRPr="00512333" w:rsidRDefault="006819C6" w:rsidP="00512333">
      <w:pPr>
        <w:pStyle w:val="20"/>
        <w:numPr>
          <w:ilvl w:val="0"/>
          <w:numId w:val="1"/>
        </w:numPr>
        <w:tabs>
          <w:tab w:val="left" w:pos="732"/>
          <w:tab w:val="left" w:pos="5916"/>
        </w:tabs>
        <w:spacing w:line="360" w:lineRule="exact"/>
        <w:ind w:firstLine="0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оценки трех групп результатов:</w:t>
      </w:r>
      <w:r w:rsidR="00512333" w:rsidRPr="00512333">
        <w:rPr>
          <w:sz w:val="24"/>
          <w:szCs w:val="24"/>
        </w:rPr>
        <w:t xml:space="preserve"> </w:t>
      </w:r>
      <w:r w:rsidRPr="00512333">
        <w:rPr>
          <w:sz w:val="24"/>
          <w:szCs w:val="24"/>
        </w:rPr>
        <w:t>личностных, предметных,</w:t>
      </w:r>
      <w:r w:rsidR="00512333" w:rsidRPr="00512333">
        <w:rPr>
          <w:sz w:val="24"/>
          <w:szCs w:val="24"/>
        </w:rPr>
        <w:t xml:space="preserve"> </w:t>
      </w:r>
      <w:r w:rsidRPr="00512333">
        <w:rPr>
          <w:sz w:val="24"/>
          <w:szCs w:val="24"/>
        </w:rPr>
        <w:t>метапредметных (регулятивных, коммуникативных и познавательных универсальных учебных действий);</w:t>
      </w:r>
    </w:p>
    <w:p w14:paraId="0B7DB870" w14:textId="77777777" w:rsidR="00811E3C" w:rsidRPr="00512333" w:rsidRDefault="006819C6" w:rsidP="00512333">
      <w:pPr>
        <w:pStyle w:val="20"/>
        <w:numPr>
          <w:ilvl w:val="0"/>
          <w:numId w:val="1"/>
        </w:numPr>
        <w:tabs>
          <w:tab w:val="left" w:pos="584"/>
        </w:tabs>
        <w:spacing w:line="360" w:lineRule="exact"/>
        <w:ind w:firstLine="300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использования комплекса оценочных процедур как основы для оценки динамики индивидуальных образовательных достижений и для итоговой оценки;</w:t>
      </w:r>
    </w:p>
    <w:p w14:paraId="71196984" w14:textId="77777777" w:rsidR="00811E3C" w:rsidRPr="00512333" w:rsidRDefault="006819C6" w:rsidP="00512333">
      <w:pPr>
        <w:pStyle w:val="20"/>
        <w:numPr>
          <w:ilvl w:val="0"/>
          <w:numId w:val="1"/>
        </w:numPr>
        <w:tabs>
          <w:tab w:val="left" w:pos="584"/>
        </w:tabs>
        <w:spacing w:line="360" w:lineRule="exact"/>
        <w:ind w:firstLine="300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(стандартизированные устные и письменные работы, проекты, практические работы, самооценка, наблюдения и др.);</w:t>
      </w:r>
    </w:p>
    <w:p w14:paraId="76F1DC12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Уровневый подход реализуется по отношению как к содержанию оценки, так и к представлению и интерпретации результатов.</w:t>
      </w:r>
    </w:p>
    <w:p w14:paraId="0077F8EB" w14:textId="3D59EE69" w:rsidR="00811E3C" w:rsidRPr="00512333" w:rsidRDefault="006819C6" w:rsidP="009B2469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Уровневый подход к содержанию оценки на уровне среднего общего образования обеспечивается следующими составляющими:</w:t>
      </w:r>
      <w:r w:rsidR="009B2469">
        <w:rPr>
          <w:sz w:val="24"/>
          <w:szCs w:val="24"/>
        </w:rPr>
        <w:t xml:space="preserve"> </w:t>
      </w:r>
      <w:r w:rsidRPr="00512333">
        <w:rPr>
          <w:sz w:val="24"/>
          <w:szCs w:val="24"/>
        </w:rPr>
        <w:t>планируемые результаты содержат блоки «Выпускник научится» и «Выпускник получит возможность научиться».</w:t>
      </w:r>
    </w:p>
    <w:p w14:paraId="1594EE52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i/>
          <w:iCs/>
          <w:sz w:val="24"/>
          <w:szCs w:val="24"/>
        </w:rPr>
        <w:t>Уровневый подход</w:t>
      </w:r>
      <w:r w:rsidRPr="00512333">
        <w:rPr>
          <w:sz w:val="24"/>
          <w:szCs w:val="24"/>
        </w:rPr>
        <w:t xml:space="preserve"> к представлению и интерпретации результатов реализуется за счет фиксации различных уровней подготовки: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образовательной деятельности. Базовый уровень подготовки определяется на основании выполнения обучающимися заданий базового уровня, которые оценивают планируемые результаты из блока «Выпускник научится».</w:t>
      </w:r>
    </w:p>
    <w:p w14:paraId="0D8773F2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Основными направлениями и целями оценочной деятельности на ступени старшей школы в соответствии с требованиями ФГОС являются оценка образовательных достижений обучающихся (с целью итоговой оценки) и оценка результатов деятельности лицея.</w:t>
      </w:r>
    </w:p>
    <w:p w14:paraId="2077B3B7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Основным объектом системы оценки результатов образования на ступени среднего (полного) общего образования, ее содержательной и критериальной базой выступают планируемые результаты освоения обучающимися ООП.</w:t>
      </w:r>
    </w:p>
    <w:p w14:paraId="2B36366E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Конечная цель контрольно-оценочной деятельности выпускников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</w:t>
      </w:r>
    </w:p>
    <w:p w14:paraId="59D2EBF8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b/>
          <w:bCs/>
          <w:sz w:val="24"/>
          <w:szCs w:val="24"/>
        </w:rPr>
        <w:t>Особенности оценки личностных, метапредметных и предметных результатов</w:t>
      </w:r>
    </w:p>
    <w:p w14:paraId="0BB36EAA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i/>
          <w:iCs/>
          <w:sz w:val="24"/>
          <w:szCs w:val="24"/>
        </w:rPr>
        <w:t>Особенности оценки личностных результатов</w:t>
      </w:r>
    </w:p>
    <w:p w14:paraId="7DA91837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14:paraId="5B12F97A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 xml:space="preserve">В соответствии с требованиями ФГОС СОО достижение личностных результатов </w:t>
      </w:r>
      <w:r w:rsidRPr="00512333">
        <w:rPr>
          <w:b/>
          <w:bCs/>
          <w:sz w:val="24"/>
          <w:szCs w:val="24"/>
        </w:rPr>
        <w:t xml:space="preserve">не выносится </w:t>
      </w:r>
      <w:r w:rsidRPr="00512333">
        <w:rPr>
          <w:sz w:val="24"/>
          <w:szCs w:val="24"/>
        </w:rPr>
        <w:t xml:space="preserve">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Оценка личностных результатов образовательной деятельности осуществляется в ходе </w:t>
      </w:r>
      <w:r w:rsidRPr="00512333">
        <w:rPr>
          <w:b/>
          <w:bCs/>
          <w:sz w:val="24"/>
          <w:szCs w:val="24"/>
        </w:rPr>
        <w:t xml:space="preserve">внешних </w:t>
      </w:r>
      <w:r w:rsidRPr="00512333">
        <w:rPr>
          <w:sz w:val="24"/>
          <w:szCs w:val="24"/>
        </w:rPr>
        <w:t xml:space="preserve">неперсонифицированных мониторинговых исследований. Инструментарий для них разрабатывается и основывается на общепринятых в </w:t>
      </w:r>
      <w:r w:rsidRPr="00512333">
        <w:rPr>
          <w:sz w:val="24"/>
          <w:szCs w:val="24"/>
        </w:rPr>
        <w:lastRenderedPageBreak/>
        <w:t>профессиональном сообществе методиках психолого-педагогической диагностики.</w:t>
      </w:r>
    </w:p>
    <w:p w14:paraId="01F9B522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Во внутреннем мониторинге возможна оценка сформированности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страны,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различных предметов в рамках системы общего образования.</w:t>
      </w:r>
    </w:p>
    <w:p w14:paraId="63A69DD6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14:paraId="0A01F556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Внутренний мониторинг организуется администрацией лицея и осуществляется классным воспитателем преимущественно на основе ежедневных наблюдений в ходе учебных занятий и внеурочной деятельности, которые обобщаются в конце учебного года. Любое использование данных, полученных в ходе мониторинговых исследований, возможно только в соответствии с Федеральным законом от 27.07.2006 № 152-ФЗ «О персональных данных».</w:t>
      </w:r>
    </w:p>
    <w:p w14:paraId="082D9F84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b/>
          <w:bCs/>
          <w:sz w:val="24"/>
          <w:szCs w:val="24"/>
        </w:rPr>
        <w:t>Особенности оценки метапредметных результатов</w:t>
      </w:r>
    </w:p>
    <w:p w14:paraId="594D3211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Оценка метапредметных результатов представляет собой оценку достижения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</w:p>
    <w:p w14:paraId="018688FA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Оценка достижения метапредметных результатов осуществляется администрацией лицея в ходе внутреннего мониторинга. Содержание и периодичность оценочных процедур устанавливается решением педагогического совета.</w:t>
      </w:r>
    </w:p>
    <w:p w14:paraId="21418749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Основной процедурой итоговой оценки достижения метапредметных результатов является защита индивидуального итогового проекта.</w:t>
      </w:r>
    </w:p>
    <w:p w14:paraId="69EFB24B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b/>
          <w:bCs/>
          <w:sz w:val="24"/>
          <w:szCs w:val="24"/>
        </w:rPr>
        <w:t>Особенности оценки предметных результатов</w:t>
      </w:r>
    </w:p>
    <w:p w14:paraId="2B97C41F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Оценка предметных результатов представляет собой оценку достижения обучающимися планируемых результатов по отдельным предметам: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аттестации.</w:t>
      </w:r>
    </w:p>
    <w:p w14:paraId="784BA563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Средством оценки планируемых результатов выступают учебные задания, проверяющие способность к решению учебно-познавательных и учебно-практических задач, предполагающие вариативные пути решения (например, содержащие избыточные для решения проблемы данные или с недостающими данными, или предполагают выбор оснований для решения проблемы и т. п.), комплексные задания, ориентированные на проверку целого комплекса умений; компетентностно-ориентированные задания, позволяющие оценивать сформированность группы различных умений и базирующиеся на контексте ситуаций «жизненного» характера.</w:t>
      </w:r>
    </w:p>
    <w:p w14:paraId="0914B5CA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lastRenderedPageBreak/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лицея в ходе внутреннего мониторинга учебных достижений.</w:t>
      </w:r>
    </w:p>
    <w:p w14:paraId="7A8EAC5E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b/>
          <w:bCs/>
          <w:sz w:val="24"/>
          <w:szCs w:val="24"/>
        </w:rPr>
        <w:t>Организация и содержание оценочных процедур</w:t>
      </w:r>
    </w:p>
    <w:p w14:paraId="4E7795DF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Стартовая диагностика представляет собой процедуру оценки готовности к обучению на уровне среднего общего образования.</w:t>
      </w:r>
    </w:p>
    <w:p w14:paraId="5CBD7270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Стартовая диагностика освоения метапредметных результатов проводится администрацией лицея в начале 10-го класса и выступает как основа (точка отсчета) для оценки динамики образовательных достижений. Объектами оценки являются структура мотивации и владение познавательными универсальными учебными действиями: универсальными и специфическими для основных учебных предметов познавательными средствами, в том числе: средствами работы с информацией, знако</w:t>
      </w:r>
      <w:r w:rsidRPr="00512333">
        <w:rPr>
          <w:sz w:val="24"/>
          <w:szCs w:val="24"/>
        </w:rPr>
        <w:softHyphen/>
        <w:t>символическими средствами, логическими операциями.</w:t>
      </w:r>
    </w:p>
    <w:p w14:paraId="6ADC1823" w14:textId="77777777" w:rsidR="00811E3C" w:rsidRPr="007016FE" w:rsidRDefault="006819C6" w:rsidP="00512333">
      <w:pPr>
        <w:pStyle w:val="20"/>
        <w:spacing w:line="360" w:lineRule="exact"/>
        <w:jc w:val="both"/>
        <w:rPr>
          <w:color w:val="auto"/>
          <w:sz w:val="24"/>
          <w:szCs w:val="24"/>
        </w:rPr>
      </w:pPr>
      <w:r w:rsidRPr="007016FE">
        <w:rPr>
          <w:color w:val="auto"/>
          <w:sz w:val="24"/>
          <w:szCs w:val="24"/>
        </w:rPr>
        <w:t>Стартовая диагностика готовности к изучению отдельных предметов (разделов) проводится учителем в начале изучения предметного курса (раздела).</w:t>
      </w:r>
    </w:p>
    <w:p w14:paraId="1896F4AC" w14:textId="77777777" w:rsidR="00811E3C" w:rsidRPr="007016FE" w:rsidRDefault="006819C6" w:rsidP="00512333">
      <w:pPr>
        <w:pStyle w:val="20"/>
        <w:spacing w:line="360" w:lineRule="exact"/>
        <w:jc w:val="both"/>
        <w:rPr>
          <w:color w:val="auto"/>
          <w:sz w:val="24"/>
          <w:szCs w:val="24"/>
        </w:rPr>
      </w:pPr>
      <w:r w:rsidRPr="007016FE">
        <w:rPr>
          <w:color w:val="auto"/>
          <w:sz w:val="24"/>
          <w:szCs w:val="24"/>
        </w:rPr>
        <w:t>Результаты стартовой диагностики являются основанием для корректировки учебных программ и индивидуализации учебной деятельности (в том числе в рамках выбора уровня изучения предметов) с учетом выделенных актуальных проблем, характерных для класса в целом и выявленных групп риска.</w:t>
      </w:r>
    </w:p>
    <w:p w14:paraId="72352AFF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Текущая оценка представляет собой процедуру оценки индивидуального продвижения в освоении учебной программы курса. Текущая оценка может быть формирующей, т.е. поддерживающей и направляющей усилия обучающегося, и диагностической, способствующей выявлению и осознанию учителем и обучающимся существующих проблем в обучении. Объектом текущей оценки являются промежуточные предметные планируемые образовательные результаты.</w:t>
      </w:r>
    </w:p>
    <w:p w14:paraId="7CBF6188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(умением внимательно относиться к чужой точке зрения, умением рассуждать с точки зрения собеседника, не совпадающей с собственной точкой зрения); инструментами само- и взаимооценки; инструментами и приемами поисковой деятельности (способами выявления противоречий, методов познания, адекватных базовой отрасли знания; обращения к надежным источникам информации, доказательствам, разумным методам и способам проверки, использования различных методов и способов фиксации информации, ее преобразования и интерпретации).</w:t>
      </w:r>
    </w:p>
    <w:p w14:paraId="550DA9FF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В текущей оценке используются формы и методы проверки (устные и письменные опросы, практические и лабораторные работы, творческие работы, учебные исследования и учебные проекты, задания с закрытым ответом и со свободно конструируемым ответом - полным и частичным, индивидуальные и групповые формы оценки, само- и взаимооценка и др.). Выбор форм, методов и моделей заданий определяется особенностями предмета, особенностями контрольно-оценочной деятельности учителя.</w:t>
      </w:r>
    </w:p>
    <w:p w14:paraId="083F84C4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lastRenderedPageBreak/>
        <w:t>Результаты текущей оценки являются основой для индивидуализации учебной деятельности и корректировки индивидуального учебного плана, в том числе и сроков изучения темы / раздела / предметного курса.</w:t>
      </w:r>
    </w:p>
    <w:p w14:paraId="07D5009D" w14:textId="77777777" w:rsidR="00811E3C" w:rsidRPr="00512333" w:rsidRDefault="006819C6" w:rsidP="00512333">
      <w:pPr>
        <w:pStyle w:val="20"/>
        <w:spacing w:line="360" w:lineRule="exact"/>
        <w:ind w:firstLine="0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Тематическая оценка представляет собой процедуру оценки уровня достижения промежуточных планируемых результатов по предмету, которые приводятся в учебных методических комплектах к учебникам, входящих в федеральный перечень, и в рабочих программах. По предметам, вводимым образовательной организацией самостоятельно, планируемые результаты устанавливаются самой образовательной организацией.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текущей коррекции учебной деятельности и ее индивидуализации.</w:t>
      </w:r>
    </w:p>
    <w:p w14:paraId="11853D5D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полугодия) и в конце учебного года по каждому изучаемому предмету. 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В случае использования стандартизированных измерительных материалов критерий достижения/освоения учебного материала задается на уровне выполнения не менее 50 % заданий базового уровня или получения 50 % от максимального балла за выполнение заданий базового уровня.</w:t>
      </w:r>
    </w:p>
    <w:p w14:paraId="3F8FC059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Порядок проведения промежуточной аттестации регламентируется Законом «Об образовании в Российской Федерации» (статья 58) и локальным нормативным актом лицея (см. Приложение).</w:t>
      </w:r>
    </w:p>
    <w:p w14:paraId="08D2EC94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b/>
          <w:bCs/>
          <w:sz w:val="24"/>
          <w:szCs w:val="24"/>
        </w:rPr>
        <w:t>Государственная итоговая аттестация</w:t>
      </w:r>
    </w:p>
    <w:p w14:paraId="1ECA9FDE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В соответствии со статьей 59 закона «Об образовании в Российской Федерации» государственная итоговая аттестация (далее - ГИА) является обязательной процедурой, завершающей освоение основной образовательной программы среднего общего образования. Порядок проведения ГИА, в том числе в форме единого государственного экзамена, устанавливается Приказом Министерства образования и науки Российской Федерации.</w:t>
      </w:r>
    </w:p>
    <w:p w14:paraId="5E63C0AB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ГИА проводится в форме единого государственного экзамена (ЕГЭ) с использованием контрольных измерительных материалов, представляющих собой комплексы заданий в стандартизированной форме.</w:t>
      </w:r>
    </w:p>
    <w:p w14:paraId="33E342BA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Условием допуска к ГИА является успешное написание итогового сочинения (изложения), которое оценивается по единым критериям в системе «зачет/незачет».</w:t>
      </w:r>
    </w:p>
    <w:p w14:paraId="3083B4E9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 xml:space="preserve">В соответствии с ФГОС СОО государственная итоговая аттестация в форме ЕГЭ </w:t>
      </w:r>
      <w:r w:rsidRPr="00512333">
        <w:rPr>
          <w:sz w:val="24"/>
          <w:szCs w:val="24"/>
        </w:rPr>
        <w:lastRenderedPageBreak/>
        <w:t>проводится по обязательным предметам и предметам по выбору обучающихся.</w:t>
      </w:r>
    </w:p>
    <w:p w14:paraId="47C0123B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предмета. При этом минимальная граница, свидетельствующая о достижении требований ФГОС СОО, которые включают в качестве составной части планируемые результаты для базового уровня изучения предмета, устанавливается исходя из планируемых результатов блока «Выпускник научится» для базового уровня изучения предмета.</w:t>
      </w:r>
    </w:p>
    <w:p w14:paraId="2E883521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Итоговая аттестация по предмету осуществляется на основании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оценки, и результаты выполнения итоговой работы по предмету. Итоговые работы проводятся по тем предметам, которые для данного обучающегося не вынесены на государственную итоговую аттестацию.</w:t>
      </w:r>
    </w:p>
    <w:p w14:paraId="3A6B08B5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Форма итоговой работы по предмету устанавливается решением педагогического совета.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(эксперимент, исследование, опыт и т.п.), а также устные формы (итоговый зачет по билетам) и т.д.</w:t>
      </w:r>
    </w:p>
    <w:p w14:paraId="3739D9CD" w14:textId="77777777" w:rsidR="00811E3C" w:rsidRPr="00512333" w:rsidRDefault="006819C6" w:rsidP="00512333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исследования. Индивидуальный проект или учебное исследование может выполняться по любому из следующих направлений: социальное; бизнес-проектирование; исследовательское; инженерно-конструкторское; информационное; творческое.</w:t>
      </w:r>
    </w:p>
    <w:p w14:paraId="66D71919" w14:textId="3D185EB1" w:rsidR="00811E3C" w:rsidRPr="00A95EE0" w:rsidRDefault="006819C6" w:rsidP="00A95EE0">
      <w:pPr>
        <w:pStyle w:val="20"/>
        <w:spacing w:line="360" w:lineRule="exact"/>
        <w:jc w:val="both"/>
        <w:rPr>
          <w:sz w:val="24"/>
          <w:szCs w:val="24"/>
        </w:rPr>
      </w:pPr>
      <w:r w:rsidRPr="00512333">
        <w:rPr>
          <w:sz w:val="24"/>
          <w:szCs w:val="24"/>
        </w:rPr>
        <w:t>Итоговая отметка по предметам и междисциплинарным программам фиксируется в документе об уровне образования установленного образца - аттестате о среднем общем образовании.</w:t>
      </w:r>
      <w:bookmarkStart w:id="1" w:name="_GoBack"/>
      <w:bookmarkEnd w:id="1"/>
    </w:p>
    <w:sectPr w:rsidR="00811E3C" w:rsidRPr="00A95EE0">
      <w:pgSz w:w="11900" w:h="16840"/>
      <w:pgMar w:top="1124" w:right="658" w:bottom="1049" w:left="1613" w:header="696" w:footer="6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8969C" w14:textId="77777777" w:rsidR="007016FE" w:rsidRDefault="007016FE">
      <w:r>
        <w:separator/>
      </w:r>
    </w:p>
  </w:endnote>
  <w:endnote w:type="continuationSeparator" w:id="0">
    <w:p w14:paraId="2F6327F9" w14:textId="77777777" w:rsidR="007016FE" w:rsidRDefault="0070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ABF3A" w14:textId="77777777" w:rsidR="007016FE" w:rsidRDefault="007016FE"/>
  </w:footnote>
  <w:footnote w:type="continuationSeparator" w:id="0">
    <w:p w14:paraId="351BE3EA" w14:textId="77777777" w:rsidR="007016FE" w:rsidRDefault="007016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D02"/>
    <w:multiLevelType w:val="multilevel"/>
    <w:tmpl w:val="0AD256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62522"/>
    <w:multiLevelType w:val="multilevel"/>
    <w:tmpl w:val="859E6E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40B9B"/>
    <w:multiLevelType w:val="multilevel"/>
    <w:tmpl w:val="D172A7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31F"/>
    <w:multiLevelType w:val="multilevel"/>
    <w:tmpl w:val="6DB2E28A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44123"/>
    <w:multiLevelType w:val="multilevel"/>
    <w:tmpl w:val="5FC8C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37C14"/>
    <w:multiLevelType w:val="multilevel"/>
    <w:tmpl w:val="CD1C51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17854"/>
    <w:multiLevelType w:val="multilevel"/>
    <w:tmpl w:val="04C429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564526"/>
    <w:multiLevelType w:val="multilevel"/>
    <w:tmpl w:val="156AF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AA4257"/>
    <w:multiLevelType w:val="multilevel"/>
    <w:tmpl w:val="8B84D2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463AE1"/>
    <w:multiLevelType w:val="multilevel"/>
    <w:tmpl w:val="2F5C5F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917419"/>
    <w:multiLevelType w:val="multilevel"/>
    <w:tmpl w:val="6B74D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105259"/>
    <w:multiLevelType w:val="multilevel"/>
    <w:tmpl w:val="E6C6B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CF60EB"/>
    <w:multiLevelType w:val="multilevel"/>
    <w:tmpl w:val="B6A2FD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BD2BD9"/>
    <w:multiLevelType w:val="multilevel"/>
    <w:tmpl w:val="BF4409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FB40F0"/>
    <w:multiLevelType w:val="multilevel"/>
    <w:tmpl w:val="FC0CEF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8A0D62"/>
    <w:multiLevelType w:val="multilevel"/>
    <w:tmpl w:val="36805F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356F1C"/>
    <w:multiLevelType w:val="multilevel"/>
    <w:tmpl w:val="B6EC1E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404E17"/>
    <w:multiLevelType w:val="multilevel"/>
    <w:tmpl w:val="4094B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0044AE"/>
    <w:multiLevelType w:val="multilevel"/>
    <w:tmpl w:val="249A9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794444"/>
    <w:multiLevelType w:val="multilevel"/>
    <w:tmpl w:val="5504F2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9B66E0"/>
    <w:multiLevelType w:val="multilevel"/>
    <w:tmpl w:val="CA2A4E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1028C1"/>
    <w:multiLevelType w:val="multilevel"/>
    <w:tmpl w:val="7AF206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C779D2"/>
    <w:multiLevelType w:val="multilevel"/>
    <w:tmpl w:val="61B614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F76E36"/>
    <w:multiLevelType w:val="multilevel"/>
    <w:tmpl w:val="A63A77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739CA"/>
    <w:multiLevelType w:val="multilevel"/>
    <w:tmpl w:val="627A6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C5351A"/>
    <w:multiLevelType w:val="multilevel"/>
    <w:tmpl w:val="DA48A4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E9380E"/>
    <w:multiLevelType w:val="multilevel"/>
    <w:tmpl w:val="5F84E8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410FD1"/>
    <w:multiLevelType w:val="multilevel"/>
    <w:tmpl w:val="D7FEE9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B535EC"/>
    <w:multiLevelType w:val="multilevel"/>
    <w:tmpl w:val="DDEC6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4317DF"/>
    <w:multiLevelType w:val="multilevel"/>
    <w:tmpl w:val="DB1A1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46CCF"/>
    <w:multiLevelType w:val="multilevel"/>
    <w:tmpl w:val="1ACA00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1C3E05"/>
    <w:multiLevelType w:val="multilevel"/>
    <w:tmpl w:val="023ACD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564330"/>
    <w:multiLevelType w:val="multilevel"/>
    <w:tmpl w:val="706EA6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E11F35"/>
    <w:multiLevelType w:val="multilevel"/>
    <w:tmpl w:val="EAA8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075246"/>
    <w:multiLevelType w:val="multilevel"/>
    <w:tmpl w:val="370AD6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4EC3B49"/>
    <w:multiLevelType w:val="multilevel"/>
    <w:tmpl w:val="4DD2DC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444FE2"/>
    <w:multiLevelType w:val="multilevel"/>
    <w:tmpl w:val="C1A8E8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86331B"/>
    <w:multiLevelType w:val="multilevel"/>
    <w:tmpl w:val="7FD23C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650C61"/>
    <w:multiLevelType w:val="multilevel"/>
    <w:tmpl w:val="12EE7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C83F72"/>
    <w:multiLevelType w:val="multilevel"/>
    <w:tmpl w:val="585E71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8661E6"/>
    <w:multiLevelType w:val="multilevel"/>
    <w:tmpl w:val="FEC206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A675A7"/>
    <w:multiLevelType w:val="multilevel"/>
    <w:tmpl w:val="9B9660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F56B22"/>
    <w:multiLevelType w:val="multilevel"/>
    <w:tmpl w:val="90E04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A75213"/>
    <w:multiLevelType w:val="multilevel"/>
    <w:tmpl w:val="E65CF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537674"/>
    <w:multiLevelType w:val="multilevel"/>
    <w:tmpl w:val="0C66F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9528A4"/>
    <w:multiLevelType w:val="multilevel"/>
    <w:tmpl w:val="915860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220F20"/>
    <w:multiLevelType w:val="multilevel"/>
    <w:tmpl w:val="ED5C6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8010C0"/>
    <w:multiLevelType w:val="multilevel"/>
    <w:tmpl w:val="99C0E8F6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8E31B4"/>
    <w:multiLevelType w:val="multilevel"/>
    <w:tmpl w:val="0D6A13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3"/>
  </w:num>
  <w:num w:numId="3">
    <w:abstractNumId w:val="36"/>
  </w:num>
  <w:num w:numId="4">
    <w:abstractNumId w:val="1"/>
  </w:num>
  <w:num w:numId="5">
    <w:abstractNumId w:val="5"/>
  </w:num>
  <w:num w:numId="6">
    <w:abstractNumId w:val="32"/>
  </w:num>
  <w:num w:numId="7">
    <w:abstractNumId w:val="13"/>
  </w:num>
  <w:num w:numId="8">
    <w:abstractNumId w:val="11"/>
  </w:num>
  <w:num w:numId="9">
    <w:abstractNumId w:val="16"/>
  </w:num>
  <w:num w:numId="10">
    <w:abstractNumId w:val="23"/>
  </w:num>
  <w:num w:numId="11">
    <w:abstractNumId w:val="44"/>
  </w:num>
  <w:num w:numId="12">
    <w:abstractNumId w:val="4"/>
  </w:num>
  <w:num w:numId="13">
    <w:abstractNumId w:val="35"/>
  </w:num>
  <w:num w:numId="14">
    <w:abstractNumId w:val="12"/>
  </w:num>
  <w:num w:numId="15">
    <w:abstractNumId w:val="19"/>
  </w:num>
  <w:num w:numId="16">
    <w:abstractNumId w:val="27"/>
  </w:num>
  <w:num w:numId="17">
    <w:abstractNumId w:val="8"/>
  </w:num>
  <w:num w:numId="18">
    <w:abstractNumId w:val="25"/>
  </w:num>
  <w:num w:numId="19">
    <w:abstractNumId w:val="2"/>
  </w:num>
  <w:num w:numId="20">
    <w:abstractNumId w:val="33"/>
  </w:num>
  <w:num w:numId="21">
    <w:abstractNumId w:val="10"/>
  </w:num>
  <w:num w:numId="22">
    <w:abstractNumId w:val="39"/>
  </w:num>
  <w:num w:numId="23">
    <w:abstractNumId w:val="20"/>
  </w:num>
  <w:num w:numId="24">
    <w:abstractNumId w:val="41"/>
  </w:num>
  <w:num w:numId="25">
    <w:abstractNumId w:val="28"/>
  </w:num>
  <w:num w:numId="26">
    <w:abstractNumId w:val="3"/>
  </w:num>
  <w:num w:numId="27">
    <w:abstractNumId w:val="26"/>
  </w:num>
  <w:num w:numId="28">
    <w:abstractNumId w:val="38"/>
  </w:num>
  <w:num w:numId="29">
    <w:abstractNumId w:val="47"/>
  </w:num>
  <w:num w:numId="30">
    <w:abstractNumId w:val="40"/>
  </w:num>
  <w:num w:numId="31">
    <w:abstractNumId w:val="15"/>
  </w:num>
  <w:num w:numId="32">
    <w:abstractNumId w:val="34"/>
  </w:num>
  <w:num w:numId="33">
    <w:abstractNumId w:val="22"/>
  </w:num>
  <w:num w:numId="34">
    <w:abstractNumId w:val="7"/>
  </w:num>
  <w:num w:numId="35">
    <w:abstractNumId w:val="30"/>
  </w:num>
  <w:num w:numId="36">
    <w:abstractNumId w:val="18"/>
  </w:num>
  <w:num w:numId="37">
    <w:abstractNumId w:val="45"/>
  </w:num>
  <w:num w:numId="38">
    <w:abstractNumId w:val="14"/>
  </w:num>
  <w:num w:numId="39">
    <w:abstractNumId w:val="0"/>
  </w:num>
  <w:num w:numId="40">
    <w:abstractNumId w:val="9"/>
  </w:num>
  <w:num w:numId="41">
    <w:abstractNumId w:val="31"/>
  </w:num>
  <w:num w:numId="42">
    <w:abstractNumId w:val="17"/>
  </w:num>
  <w:num w:numId="43">
    <w:abstractNumId w:val="37"/>
  </w:num>
  <w:num w:numId="44">
    <w:abstractNumId w:val="24"/>
  </w:num>
  <w:num w:numId="45">
    <w:abstractNumId w:val="42"/>
  </w:num>
  <w:num w:numId="46">
    <w:abstractNumId w:val="6"/>
  </w:num>
  <w:num w:numId="47">
    <w:abstractNumId w:val="21"/>
  </w:num>
  <w:num w:numId="48">
    <w:abstractNumId w:val="48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3C"/>
    <w:rsid w:val="00512333"/>
    <w:rsid w:val="006819C6"/>
    <w:rsid w:val="007016FE"/>
    <w:rsid w:val="00811E3C"/>
    <w:rsid w:val="008B0C8B"/>
    <w:rsid w:val="009B2469"/>
    <w:rsid w:val="009B3870"/>
    <w:rsid w:val="00A95EE0"/>
    <w:rsid w:val="00BD0C56"/>
    <w:rsid w:val="00D35378"/>
    <w:rsid w:val="00E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F520"/>
  <w15:docId w15:val="{F9373CB6-21CC-4B80-B47A-4B7B3644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ind w:left="270" w:hanging="27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016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6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9</cp:revision>
  <cp:lastPrinted>2021-05-18T10:00:00Z</cp:lastPrinted>
  <dcterms:created xsi:type="dcterms:W3CDTF">2021-05-17T20:13:00Z</dcterms:created>
  <dcterms:modified xsi:type="dcterms:W3CDTF">2021-05-18T13:51:00Z</dcterms:modified>
</cp:coreProperties>
</file>